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51085" w14:textId="2BB417C2" w:rsidR="003F5DA3" w:rsidRPr="008C5EA9" w:rsidRDefault="003F5DA3" w:rsidP="003F5DA3">
      <w:pPr>
        <w:rPr>
          <w:sz w:val="20"/>
          <w:szCs w:val="20"/>
        </w:rPr>
      </w:pPr>
      <w:r w:rsidRPr="00A21289">
        <w:rPr>
          <w:b/>
          <w:bCs/>
          <w:sz w:val="20"/>
          <w:szCs w:val="20"/>
        </w:rPr>
        <w:t>AI for Regional Leaders: Strategy, Governance, and Practical Implementation</w:t>
      </w:r>
      <w:r w:rsidR="006608FA">
        <w:rPr>
          <w:b/>
          <w:bCs/>
          <w:sz w:val="20"/>
          <w:szCs w:val="20"/>
        </w:rPr>
        <w:t>|</w:t>
      </w:r>
      <w:r w:rsidRPr="00A21289">
        <w:rPr>
          <w:b/>
          <w:bCs/>
          <w:sz w:val="20"/>
          <w:szCs w:val="20"/>
        </w:rPr>
        <w:t>8:30 AM – 12:00 PM</w:t>
      </w:r>
      <w:r w:rsidRPr="00A21289">
        <w:rPr>
          <w:sz w:val="20"/>
          <w:szCs w:val="20"/>
        </w:rPr>
        <w:br/>
      </w:r>
      <w:r w:rsidR="008C5EA9" w:rsidRPr="00923FBF">
        <w:rPr>
          <w:sz w:val="20"/>
          <w:szCs w:val="20"/>
        </w:rPr>
        <w:t>Led by </w:t>
      </w:r>
      <w:r w:rsidR="008C5EA9" w:rsidRPr="00923FBF">
        <w:rPr>
          <w:b/>
          <w:bCs/>
          <w:sz w:val="20"/>
          <w:szCs w:val="20"/>
        </w:rPr>
        <w:t>Robert Hiett, Executive Director of the Upper Coastal Plain Council of Governments</w:t>
      </w:r>
    </w:p>
    <w:p w14:paraId="01C7813B" w14:textId="77777777" w:rsidR="003F5DA3" w:rsidRPr="00A21289" w:rsidRDefault="003F5DA3" w:rsidP="003F5DA3">
      <w:pPr>
        <w:rPr>
          <w:sz w:val="20"/>
          <w:szCs w:val="20"/>
        </w:rPr>
      </w:pPr>
      <w:r w:rsidRPr="00A21289">
        <w:rPr>
          <w:sz w:val="20"/>
          <w:szCs w:val="20"/>
        </w:rPr>
        <w:t>This executive workshop is designed to help regional leaders understand the strategic implications of artificial intelligence, evaluate governance and workforce readiness, and identify disciplined pathways for responsible implementation across jurisdictions.</w:t>
      </w:r>
    </w:p>
    <w:p w14:paraId="5DB56FC6" w14:textId="77777777" w:rsidR="003F5DA3" w:rsidRPr="00A21289" w:rsidRDefault="003F5DA3" w:rsidP="003F5DA3">
      <w:pPr>
        <w:rPr>
          <w:b/>
          <w:bCs/>
          <w:sz w:val="20"/>
          <w:szCs w:val="20"/>
        </w:rPr>
      </w:pPr>
      <w:r w:rsidRPr="00A21289">
        <w:rPr>
          <w:b/>
          <w:bCs/>
          <w:sz w:val="20"/>
          <w:szCs w:val="20"/>
        </w:rPr>
        <w:t>8:30 – 8:50 AM</w:t>
      </w:r>
    </w:p>
    <w:p w14:paraId="148DF9BE" w14:textId="77777777" w:rsidR="003F5DA3" w:rsidRPr="00A21289" w:rsidRDefault="003F5DA3" w:rsidP="003F5DA3">
      <w:pPr>
        <w:rPr>
          <w:b/>
          <w:bCs/>
          <w:sz w:val="20"/>
          <w:szCs w:val="20"/>
        </w:rPr>
      </w:pPr>
      <w:r w:rsidRPr="00A21289">
        <w:rPr>
          <w:b/>
          <w:bCs/>
          <w:sz w:val="20"/>
          <w:szCs w:val="20"/>
        </w:rPr>
        <w:t>The Strategic Inflection Point for Regional Government</w:t>
      </w:r>
    </w:p>
    <w:p w14:paraId="4D4434D7" w14:textId="370033E9" w:rsidR="00BE6262" w:rsidRPr="00BE6262" w:rsidRDefault="00BE6262" w:rsidP="00BE6262">
      <w:pPr>
        <w:rPr>
          <w:sz w:val="20"/>
          <w:szCs w:val="20"/>
        </w:rPr>
      </w:pPr>
      <w:r w:rsidRPr="00BE6262">
        <w:rPr>
          <w:sz w:val="20"/>
          <w:szCs w:val="20"/>
        </w:rPr>
        <w:t xml:space="preserve">This segment presents </w:t>
      </w:r>
      <w:r w:rsidR="00680723" w:rsidRPr="00A21289">
        <w:rPr>
          <w:sz w:val="20"/>
          <w:szCs w:val="20"/>
        </w:rPr>
        <w:t>AI</w:t>
      </w:r>
      <w:r w:rsidRPr="00BE6262">
        <w:rPr>
          <w:sz w:val="20"/>
          <w:szCs w:val="20"/>
        </w:rPr>
        <w:t xml:space="preserve"> as a structural shift in public administration rather than a passing trend. It explains why AI is now a core leadership responsibility tied to governance, workforce capability, compliance, and competitiveness, and how delaying, staying neutral, or experimenting in isolation can widen performance gaps across jurisdictions.</w:t>
      </w:r>
    </w:p>
    <w:p w14:paraId="52B0A8BD" w14:textId="77777777" w:rsidR="003F5DA3" w:rsidRPr="00A21289" w:rsidRDefault="003F5DA3" w:rsidP="003F5DA3">
      <w:pPr>
        <w:rPr>
          <w:sz w:val="20"/>
          <w:szCs w:val="20"/>
        </w:rPr>
      </w:pPr>
      <w:r w:rsidRPr="00A21289">
        <w:rPr>
          <w:b/>
          <w:bCs/>
          <w:sz w:val="20"/>
          <w:szCs w:val="20"/>
        </w:rPr>
        <w:t>Information Covered</w:t>
      </w:r>
    </w:p>
    <w:p w14:paraId="4D699480" w14:textId="4748B673" w:rsidR="003F5DA3" w:rsidRPr="00A21289" w:rsidRDefault="003F5DA3" w:rsidP="00CF473F">
      <w:pPr>
        <w:numPr>
          <w:ilvl w:val="0"/>
          <w:numId w:val="10"/>
        </w:numPr>
        <w:spacing w:after="0"/>
        <w:rPr>
          <w:sz w:val="20"/>
          <w:szCs w:val="20"/>
        </w:rPr>
      </w:pPr>
      <w:r w:rsidRPr="00A21289">
        <w:rPr>
          <w:sz w:val="20"/>
          <w:szCs w:val="20"/>
        </w:rPr>
        <w:t>Why remaining neutral or delaying action introduces operational risk</w:t>
      </w:r>
      <w:r w:rsidR="00871346">
        <w:rPr>
          <w:sz w:val="20"/>
          <w:szCs w:val="20"/>
        </w:rPr>
        <w:t xml:space="preserve"> and widens competency gaps</w:t>
      </w:r>
    </w:p>
    <w:p w14:paraId="6672C3B8" w14:textId="77777777" w:rsidR="003F5DA3" w:rsidRPr="00A21289" w:rsidRDefault="003F5DA3" w:rsidP="00CF473F">
      <w:pPr>
        <w:numPr>
          <w:ilvl w:val="0"/>
          <w:numId w:val="10"/>
        </w:numPr>
        <w:spacing w:after="0"/>
        <w:rPr>
          <w:sz w:val="20"/>
          <w:szCs w:val="20"/>
        </w:rPr>
      </w:pPr>
      <w:r w:rsidRPr="00A21289">
        <w:rPr>
          <w:sz w:val="20"/>
          <w:szCs w:val="20"/>
        </w:rPr>
        <w:t>The distinction between individual experimentation and organizational strategy</w:t>
      </w:r>
    </w:p>
    <w:p w14:paraId="251AA6C2" w14:textId="77777777" w:rsidR="003F5DA3" w:rsidRPr="00A21289" w:rsidRDefault="003F5DA3" w:rsidP="00CF473F">
      <w:pPr>
        <w:numPr>
          <w:ilvl w:val="0"/>
          <w:numId w:val="10"/>
        </w:numPr>
        <w:spacing w:after="0"/>
        <w:rPr>
          <w:sz w:val="20"/>
          <w:szCs w:val="20"/>
        </w:rPr>
      </w:pPr>
      <w:r w:rsidRPr="00A21289">
        <w:rPr>
          <w:sz w:val="20"/>
          <w:szCs w:val="20"/>
        </w:rPr>
        <w:t>AI as emerging infrastructure that shapes workforce productivity and service modernization</w:t>
      </w:r>
    </w:p>
    <w:p w14:paraId="5A303421" w14:textId="77777777" w:rsidR="003F5DA3" w:rsidRPr="00A21289" w:rsidRDefault="003F5DA3" w:rsidP="003F5DA3">
      <w:pPr>
        <w:rPr>
          <w:sz w:val="20"/>
          <w:szCs w:val="20"/>
        </w:rPr>
      </w:pPr>
      <w:r w:rsidRPr="00A21289">
        <w:rPr>
          <w:b/>
          <w:bCs/>
          <w:sz w:val="20"/>
          <w:szCs w:val="20"/>
        </w:rPr>
        <w:t>Outcome</w:t>
      </w:r>
    </w:p>
    <w:p w14:paraId="064CBC45" w14:textId="77777777" w:rsidR="003F5DA3" w:rsidRPr="00A21289" w:rsidRDefault="003F5DA3" w:rsidP="003F5DA3">
      <w:pPr>
        <w:rPr>
          <w:sz w:val="20"/>
          <w:szCs w:val="20"/>
        </w:rPr>
      </w:pPr>
      <w:r w:rsidRPr="00A21289">
        <w:rPr>
          <w:sz w:val="20"/>
          <w:szCs w:val="20"/>
        </w:rPr>
        <w:t>Participants align on why AI is now a leadership and governance priority and understand the difference between informal tool use and disciplined organizational adoption.</w:t>
      </w:r>
    </w:p>
    <w:p w14:paraId="48DF5438" w14:textId="77777777" w:rsidR="003F5DA3" w:rsidRPr="00A21289" w:rsidRDefault="003F5DA3" w:rsidP="003F5DA3">
      <w:pPr>
        <w:rPr>
          <w:b/>
          <w:bCs/>
          <w:sz w:val="20"/>
          <w:szCs w:val="20"/>
        </w:rPr>
      </w:pPr>
      <w:r w:rsidRPr="00A21289">
        <w:rPr>
          <w:b/>
          <w:bCs/>
          <w:sz w:val="20"/>
          <w:szCs w:val="20"/>
        </w:rPr>
        <w:t>8:50 – 9:25 AM</w:t>
      </w:r>
    </w:p>
    <w:p w14:paraId="3AAEC82D" w14:textId="77777777" w:rsidR="003F5DA3" w:rsidRPr="00A21289" w:rsidRDefault="003F5DA3" w:rsidP="003F5DA3">
      <w:pPr>
        <w:rPr>
          <w:b/>
          <w:bCs/>
          <w:sz w:val="20"/>
          <w:szCs w:val="20"/>
        </w:rPr>
      </w:pPr>
      <w:r w:rsidRPr="00A21289">
        <w:rPr>
          <w:b/>
          <w:bCs/>
          <w:sz w:val="20"/>
          <w:szCs w:val="20"/>
        </w:rPr>
        <w:t>The Real State of AI in Public Administration</w:t>
      </w:r>
    </w:p>
    <w:p w14:paraId="43E99A86" w14:textId="748DBB2F" w:rsidR="00C27A80" w:rsidRPr="00C27A80" w:rsidRDefault="00C27A80" w:rsidP="00C27A80">
      <w:pPr>
        <w:rPr>
          <w:sz w:val="20"/>
          <w:szCs w:val="20"/>
        </w:rPr>
      </w:pPr>
      <w:r w:rsidRPr="00C27A80">
        <w:rPr>
          <w:sz w:val="20"/>
          <w:szCs w:val="20"/>
        </w:rPr>
        <w:t>An evidence</w:t>
      </w:r>
      <w:r w:rsidRPr="00C27A80">
        <w:rPr>
          <w:sz w:val="20"/>
          <w:szCs w:val="20"/>
        </w:rPr>
        <w:noBreakHyphen/>
        <w:t>based look at AI</w:t>
      </w:r>
      <w:r w:rsidR="004D3557" w:rsidRPr="00A21289">
        <w:rPr>
          <w:sz w:val="20"/>
          <w:szCs w:val="20"/>
        </w:rPr>
        <w:t>’s</w:t>
      </w:r>
      <w:r w:rsidRPr="00C27A80">
        <w:rPr>
          <w:sz w:val="20"/>
          <w:szCs w:val="20"/>
        </w:rPr>
        <w:t xml:space="preserve"> </w:t>
      </w:r>
      <w:r w:rsidR="004D3557" w:rsidRPr="00A21289">
        <w:rPr>
          <w:sz w:val="20"/>
          <w:szCs w:val="20"/>
        </w:rPr>
        <w:t>use</w:t>
      </w:r>
      <w:r w:rsidRPr="00C27A80">
        <w:rPr>
          <w:sz w:val="20"/>
          <w:szCs w:val="20"/>
        </w:rPr>
        <w:t xml:space="preserve"> across government, emphasizing the mismatch between leadership expectations and workforce readiness. It highlights the gap between enthusiasm and structured implementation, the operational and compliance risks of unmanaged adoption, and clarifies where AI delivers measurable value and where it quietly introduces risk.</w:t>
      </w:r>
    </w:p>
    <w:p w14:paraId="3079CE08" w14:textId="77777777" w:rsidR="003F5DA3" w:rsidRPr="00A21289" w:rsidRDefault="003F5DA3" w:rsidP="003F5DA3">
      <w:pPr>
        <w:rPr>
          <w:sz w:val="20"/>
          <w:szCs w:val="20"/>
        </w:rPr>
      </w:pPr>
      <w:r w:rsidRPr="00A21289">
        <w:rPr>
          <w:b/>
          <w:bCs/>
          <w:sz w:val="20"/>
          <w:szCs w:val="20"/>
        </w:rPr>
        <w:t>Information Covered</w:t>
      </w:r>
    </w:p>
    <w:p w14:paraId="12A72709" w14:textId="77777777" w:rsidR="003F5DA3" w:rsidRPr="00A21289" w:rsidRDefault="003F5DA3" w:rsidP="00CF473F">
      <w:pPr>
        <w:numPr>
          <w:ilvl w:val="0"/>
          <w:numId w:val="12"/>
        </w:numPr>
        <w:spacing w:after="0"/>
        <w:rPr>
          <w:sz w:val="20"/>
          <w:szCs w:val="20"/>
        </w:rPr>
      </w:pPr>
      <w:r w:rsidRPr="00A21289">
        <w:rPr>
          <w:sz w:val="20"/>
          <w:szCs w:val="20"/>
        </w:rPr>
        <w:t>Shadow AI and the reality of unmanaged tool usage</w:t>
      </w:r>
    </w:p>
    <w:p w14:paraId="31913B31" w14:textId="77777777" w:rsidR="003F5DA3" w:rsidRPr="00A21289" w:rsidRDefault="003F5DA3" w:rsidP="00CF473F">
      <w:pPr>
        <w:numPr>
          <w:ilvl w:val="0"/>
          <w:numId w:val="12"/>
        </w:numPr>
        <w:spacing w:after="0"/>
        <w:rPr>
          <w:sz w:val="20"/>
          <w:szCs w:val="20"/>
        </w:rPr>
      </w:pPr>
      <w:r w:rsidRPr="00A21289">
        <w:rPr>
          <w:sz w:val="20"/>
          <w:szCs w:val="20"/>
        </w:rPr>
        <w:t>Where AI creates operational benefits versus where it creates compliance exposure</w:t>
      </w:r>
    </w:p>
    <w:p w14:paraId="2B98A61C" w14:textId="552CF1B6" w:rsidR="003F5DA3" w:rsidRPr="00A21289" w:rsidRDefault="003F5DA3" w:rsidP="00CF473F">
      <w:pPr>
        <w:numPr>
          <w:ilvl w:val="0"/>
          <w:numId w:val="12"/>
        </w:numPr>
        <w:spacing w:after="0"/>
        <w:rPr>
          <w:sz w:val="20"/>
          <w:szCs w:val="20"/>
        </w:rPr>
      </w:pPr>
      <w:r w:rsidRPr="00A21289">
        <w:rPr>
          <w:sz w:val="20"/>
          <w:szCs w:val="20"/>
        </w:rPr>
        <w:t xml:space="preserve">Why lack of clarity accelerates inconsistent practices </w:t>
      </w:r>
      <w:r w:rsidR="0030031B">
        <w:rPr>
          <w:sz w:val="20"/>
          <w:szCs w:val="20"/>
        </w:rPr>
        <w:t xml:space="preserve">and proficiencies </w:t>
      </w:r>
      <w:r w:rsidRPr="00A21289">
        <w:rPr>
          <w:sz w:val="20"/>
          <w:szCs w:val="20"/>
        </w:rPr>
        <w:t>across departments</w:t>
      </w:r>
    </w:p>
    <w:p w14:paraId="48423101" w14:textId="32F9976E" w:rsidR="003F5DA3" w:rsidRPr="00A21289" w:rsidRDefault="003F5DA3" w:rsidP="003F5DA3">
      <w:pPr>
        <w:rPr>
          <w:sz w:val="20"/>
          <w:szCs w:val="20"/>
        </w:rPr>
      </w:pPr>
      <w:r w:rsidRPr="00A21289">
        <w:rPr>
          <w:b/>
          <w:bCs/>
          <w:sz w:val="20"/>
          <w:szCs w:val="20"/>
        </w:rPr>
        <w:t>Outcome</w:t>
      </w:r>
    </w:p>
    <w:p w14:paraId="2E5EC38A" w14:textId="77777777" w:rsidR="003F5DA3" w:rsidRPr="00A21289" w:rsidRDefault="003F5DA3" w:rsidP="003F5DA3">
      <w:pPr>
        <w:rPr>
          <w:sz w:val="20"/>
          <w:szCs w:val="20"/>
        </w:rPr>
      </w:pPr>
      <w:r w:rsidRPr="00A21289">
        <w:rPr>
          <w:sz w:val="20"/>
          <w:szCs w:val="20"/>
        </w:rPr>
        <w:t>Participants gain a realistic picture of AI exposure inside typical agencies and identify where unmanaged use is already creating governance and quality risks.</w:t>
      </w:r>
    </w:p>
    <w:p w14:paraId="04804640" w14:textId="77777777" w:rsidR="003F5DA3" w:rsidRPr="00A21289" w:rsidRDefault="003F5DA3" w:rsidP="003F5DA3">
      <w:pPr>
        <w:rPr>
          <w:b/>
          <w:bCs/>
          <w:sz w:val="20"/>
          <w:szCs w:val="20"/>
        </w:rPr>
      </w:pPr>
      <w:r w:rsidRPr="00A21289">
        <w:rPr>
          <w:b/>
          <w:bCs/>
          <w:sz w:val="20"/>
          <w:szCs w:val="20"/>
        </w:rPr>
        <w:t>9:25 – 9:55 AM</w:t>
      </w:r>
    </w:p>
    <w:p w14:paraId="4813B2CE" w14:textId="77777777" w:rsidR="003F5DA3" w:rsidRPr="00A21289" w:rsidRDefault="003F5DA3" w:rsidP="003F5DA3">
      <w:pPr>
        <w:rPr>
          <w:b/>
          <w:bCs/>
          <w:sz w:val="20"/>
          <w:szCs w:val="20"/>
        </w:rPr>
      </w:pPr>
      <w:r w:rsidRPr="00A21289">
        <w:rPr>
          <w:b/>
          <w:bCs/>
          <w:sz w:val="20"/>
          <w:szCs w:val="20"/>
        </w:rPr>
        <w:t>The Three Pillars of Public Sector AI Value</w:t>
      </w:r>
    </w:p>
    <w:p w14:paraId="5A1D5326" w14:textId="1116B1D0" w:rsidR="003478A7" w:rsidRPr="003478A7" w:rsidRDefault="003478A7" w:rsidP="003478A7">
      <w:pPr>
        <w:rPr>
          <w:sz w:val="20"/>
          <w:szCs w:val="20"/>
        </w:rPr>
      </w:pPr>
      <w:r w:rsidRPr="003478A7">
        <w:rPr>
          <w:sz w:val="20"/>
          <w:szCs w:val="20"/>
        </w:rPr>
        <w:t>Translate AI from an abstract concept into mission</w:t>
      </w:r>
      <w:r w:rsidRPr="003478A7">
        <w:rPr>
          <w:sz w:val="20"/>
          <w:szCs w:val="20"/>
        </w:rPr>
        <w:noBreakHyphen/>
        <w:t>aligned applications that deliver measurable operational outcomes in regional planning and administration. Emphasis is placed on how AI can improve workflow efficiency, communication clarity, and program design quality, with a focus on responsible early wins</w:t>
      </w:r>
      <w:r w:rsidR="008D24DC">
        <w:rPr>
          <w:sz w:val="20"/>
          <w:szCs w:val="20"/>
        </w:rPr>
        <w:t>.</w:t>
      </w:r>
      <w:r w:rsidRPr="003478A7">
        <w:rPr>
          <w:sz w:val="20"/>
          <w:szCs w:val="20"/>
        </w:rPr>
        <w:t xml:space="preserve"> </w:t>
      </w:r>
    </w:p>
    <w:p w14:paraId="69BD3B8C" w14:textId="77777777" w:rsidR="003F5DA3" w:rsidRPr="00A21289" w:rsidRDefault="003F5DA3" w:rsidP="003F5DA3">
      <w:pPr>
        <w:rPr>
          <w:sz w:val="20"/>
          <w:szCs w:val="20"/>
        </w:rPr>
      </w:pPr>
      <w:r w:rsidRPr="00A21289">
        <w:rPr>
          <w:b/>
          <w:bCs/>
          <w:sz w:val="20"/>
          <w:szCs w:val="20"/>
        </w:rPr>
        <w:lastRenderedPageBreak/>
        <w:t>Information Covered</w:t>
      </w:r>
    </w:p>
    <w:p w14:paraId="1BA26738" w14:textId="77777777" w:rsidR="003F5DA3" w:rsidRPr="00A21289" w:rsidRDefault="003F5DA3" w:rsidP="00B625E5">
      <w:pPr>
        <w:numPr>
          <w:ilvl w:val="0"/>
          <w:numId w:val="14"/>
        </w:numPr>
        <w:spacing w:after="0"/>
        <w:rPr>
          <w:sz w:val="20"/>
          <w:szCs w:val="20"/>
        </w:rPr>
      </w:pPr>
      <w:r w:rsidRPr="00A21289">
        <w:rPr>
          <w:sz w:val="20"/>
          <w:szCs w:val="20"/>
        </w:rPr>
        <w:t>Pillar 1: Productivity and operational efficiency (documentation, meeting prep, intake, summaries)</w:t>
      </w:r>
    </w:p>
    <w:p w14:paraId="405E7E66" w14:textId="77777777" w:rsidR="003F5DA3" w:rsidRPr="00A21289" w:rsidRDefault="003F5DA3" w:rsidP="00B625E5">
      <w:pPr>
        <w:numPr>
          <w:ilvl w:val="0"/>
          <w:numId w:val="14"/>
        </w:numPr>
        <w:spacing w:after="0"/>
        <w:rPr>
          <w:sz w:val="20"/>
          <w:szCs w:val="20"/>
        </w:rPr>
      </w:pPr>
      <w:r w:rsidRPr="00A21289">
        <w:rPr>
          <w:sz w:val="20"/>
          <w:szCs w:val="20"/>
        </w:rPr>
        <w:t>Pillar 2: Communications and content quality (reports, grants, outreach, consistency)</w:t>
      </w:r>
    </w:p>
    <w:p w14:paraId="0423EB98" w14:textId="77777777" w:rsidR="003F5DA3" w:rsidRPr="00A21289" w:rsidRDefault="003F5DA3" w:rsidP="00B625E5">
      <w:pPr>
        <w:numPr>
          <w:ilvl w:val="0"/>
          <w:numId w:val="14"/>
        </w:numPr>
        <w:spacing w:after="0"/>
        <w:rPr>
          <w:sz w:val="20"/>
          <w:szCs w:val="20"/>
        </w:rPr>
      </w:pPr>
      <w:r w:rsidRPr="00A21289">
        <w:rPr>
          <w:sz w:val="20"/>
          <w:szCs w:val="20"/>
        </w:rPr>
        <w:t>Pillar 3: Smarter program design (data synthesis, scenario planning, needs identification)</w:t>
      </w:r>
    </w:p>
    <w:p w14:paraId="7111E634" w14:textId="77777777" w:rsidR="003F5DA3" w:rsidRPr="00A21289" w:rsidRDefault="003F5DA3" w:rsidP="00B625E5">
      <w:pPr>
        <w:numPr>
          <w:ilvl w:val="0"/>
          <w:numId w:val="14"/>
        </w:numPr>
        <w:spacing w:after="0"/>
        <w:rPr>
          <w:sz w:val="20"/>
          <w:szCs w:val="20"/>
        </w:rPr>
      </w:pPr>
      <w:r w:rsidRPr="00A21289">
        <w:rPr>
          <w:sz w:val="20"/>
          <w:szCs w:val="20"/>
        </w:rPr>
        <w:t>How to choose low-risk, high-visibility early wins</w:t>
      </w:r>
    </w:p>
    <w:p w14:paraId="4D872ECB" w14:textId="77777777" w:rsidR="00453D3A" w:rsidRDefault="00453D3A" w:rsidP="003F5DA3">
      <w:pPr>
        <w:rPr>
          <w:b/>
          <w:bCs/>
          <w:sz w:val="20"/>
          <w:szCs w:val="20"/>
        </w:rPr>
      </w:pPr>
    </w:p>
    <w:p w14:paraId="7A161BCA" w14:textId="67A55A54" w:rsidR="003F5DA3" w:rsidRPr="00A21289" w:rsidRDefault="003F5DA3" w:rsidP="003F5DA3">
      <w:pPr>
        <w:rPr>
          <w:sz w:val="20"/>
          <w:szCs w:val="20"/>
        </w:rPr>
      </w:pPr>
      <w:r w:rsidRPr="00A21289">
        <w:rPr>
          <w:b/>
          <w:bCs/>
          <w:sz w:val="20"/>
          <w:szCs w:val="20"/>
        </w:rPr>
        <w:t>Outcome</w:t>
      </w:r>
    </w:p>
    <w:p w14:paraId="3D350813" w14:textId="77777777" w:rsidR="003F5DA3" w:rsidRPr="00A21289" w:rsidRDefault="003F5DA3" w:rsidP="003F5DA3">
      <w:pPr>
        <w:rPr>
          <w:sz w:val="20"/>
          <w:szCs w:val="20"/>
        </w:rPr>
      </w:pPr>
      <w:r w:rsidRPr="00A21289">
        <w:rPr>
          <w:sz w:val="20"/>
          <w:szCs w:val="20"/>
        </w:rPr>
        <w:t xml:space="preserve">Participants leave with a practical value framework and can name at least one realistic, </w:t>
      </w:r>
      <w:proofErr w:type="gramStart"/>
      <w:r w:rsidRPr="00A21289">
        <w:rPr>
          <w:sz w:val="20"/>
          <w:szCs w:val="20"/>
        </w:rPr>
        <w:t>low-risk</w:t>
      </w:r>
      <w:proofErr w:type="gramEnd"/>
      <w:r w:rsidRPr="00A21289">
        <w:rPr>
          <w:sz w:val="20"/>
          <w:szCs w:val="20"/>
        </w:rPr>
        <w:t xml:space="preserve"> use case that fits their operational context.</w:t>
      </w:r>
    </w:p>
    <w:p w14:paraId="3D7D9E32" w14:textId="77777777" w:rsidR="003F5DA3" w:rsidRPr="00A21289" w:rsidRDefault="003F5DA3" w:rsidP="003F5DA3">
      <w:pPr>
        <w:rPr>
          <w:b/>
          <w:bCs/>
          <w:sz w:val="20"/>
          <w:szCs w:val="20"/>
        </w:rPr>
      </w:pPr>
      <w:r w:rsidRPr="00A21289">
        <w:rPr>
          <w:b/>
          <w:bCs/>
          <w:sz w:val="20"/>
          <w:szCs w:val="20"/>
        </w:rPr>
        <w:t>10:15 – 10:50 AM</w:t>
      </w:r>
    </w:p>
    <w:p w14:paraId="172AB65D" w14:textId="77777777" w:rsidR="003F5DA3" w:rsidRPr="00A21289" w:rsidRDefault="003F5DA3" w:rsidP="003F5DA3">
      <w:pPr>
        <w:rPr>
          <w:b/>
          <w:bCs/>
          <w:sz w:val="20"/>
          <w:szCs w:val="20"/>
        </w:rPr>
      </w:pPr>
      <w:r w:rsidRPr="00A21289">
        <w:rPr>
          <w:b/>
          <w:bCs/>
          <w:sz w:val="20"/>
          <w:szCs w:val="20"/>
        </w:rPr>
        <w:t>Governance Before Growth: Managing Risk and Building Trust</w:t>
      </w:r>
    </w:p>
    <w:p w14:paraId="12773845" w14:textId="77777777" w:rsidR="00714044" w:rsidRPr="00714044" w:rsidRDefault="00714044" w:rsidP="00714044">
      <w:pPr>
        <w:rPr>
          <w:sz w:val="20"/>
          <w:szCs w:val="20"/>
        </w:rPr>
      </w:pPr>
      <w:r w:rsidRPr="00714044">
        <w:rPr>
          <w:sz w:val="20"/>
          <w:szCs w:val="20"/>
        </w:rPr>
        <w:t>This session stresses that governance, data handling, and accountability structures must be established before expanding AI use. It focuses on practical guardrails suited to small and mid</w:t>
      </w:r>
      <w:r w:rsidRPr="00714044">
        <w:rPr>
          <w:sz w:val="20"/>
          <w:szCs w:val="20"/>
        </w:rPr>
        <w:noBreakHyphen/>
        <w:t>sized public organizations without extensive IT resources, and examines how leadership, policy, training, and oversight must align for broader deployment.</w:t>
      </w:r>
    </w:p>
    <w:p w14:paraId="6C5B47CF" w14:textId="77777777" w:rsidR="003F5DA3" w:rsidRPr="00A21289" w:rsidRDefault="003F5DA3" w:rsidP="003F5DA3">
      <w:pPr>
        <w:rPr>
          <w:sz w:val="20"/>
          <w:szCs w:val="20"/>
        </w:rPr>
      </w:pPr>
      <w:r w:rsidRPr="00A21289">
        <w:rPr>
          <w:b/>
          <w:bCs/>
          <w:sz w:val="20"/>
          <w:szCs w:val="20"/>
        </w:rPr>
        <w:t>Information Covered</w:t>
      </w:r>
    </w:p>
    <w:p w14:paraId="04DEC4F1" w14:textId="77777777" w:rsidR="003F5DA3" w:rsidRPr="00A21289" w:rsidRDefault="003F5DA3" w:rsidP="007B04FA">
      <w:pPr>
        <w:numPr>
          <w:ilvl w:val="0"/>
          <w:numId w:val="18"/>
        </w:numPr>
        <w:spacing w:after="0"/>
        <w:rPr>
          <w:sz w:val="20"/>
          <w:szCs w:val="20"/>
        </w:rPr>
      </w:pPr>
      <w:r w:rsidRPr="00A21289">
        <w:rPr>
          <w:sz w:val="20"/>
          <w:szCs w:val="20"/>
        </w:rPr>
        <w:t>Why governance must precede scale to protect public trust and compliance posture</w:t>
      </w:r>
    </w:p>
    <w:p w14:paraId="71360506" w14:textId="77777777" w:rsidR="003F5DA3" w:rsidRPr="00A21289" w:rsidRDefault="003F5DA3" w:rsidP="007B04FA">
      <w:pPr>
        <w:numPr>
          <w:ilvl w:val="0"/>
          <w:numId w:val="18"/>
        </w:numPr>
        <w:spacing w:after="0"/>
        <w:rPr>
          <w:sz w:val="20"/>
          <w:szCs w:val="20"/>
        </w:rPr>
      </w:pPr>
      <w:r w:rsidRPr="00A21289">
        <w:rPr>
          <w:sz w:val="20"/>
          <w:szCs w:val="20"/>
        </w:rPr>
        <w:t>Data sensitivity, confidentiality boundaries, and what should never be pasted into public tools</w:t>
      </w:r>
    </w:p>
    <w:p w14:paraId="406BAF37" w14:textId="77777777" w:rsidR="003F5DA3" w:rsidRPr="00A21289" w:rsidRDefault="003F5DA3" w:rsidP="007B04FA">
      <w:pPr>
        <w:numPr>
          <w:ilvl w:val="0"/>
          <w:numId w:val="18"/>
        </w:numPr>
        <w:spacing w:after="0"/>
        <w:rPr>
          <w:sz w:val="20"/>
          <w:szCs w:val="20"/>
        </w:rPr>
      </w:pPr>
      <w:r w:rsidRPr="00A21289">
        <w:rPr>
          <w:sz w:val="20"/>
          <w:szCs w:val="20"/>
        </w:rPr>
        <w:t>Integrated versus isolated deployment models and what they mean for control</w:t>
      </w:r>
    </w:p>
    <w:p w14:paraId="7E2DAA84" w14:textId="77777777" w:rsidR="003F5DA3" w:rsidRPr="00A21289" w:rsidRDefault="003F5DA3" w:rsidP="007B04FA">
      <w:pPr>
        <w:numPr>
          <w:ilvl w:val="0"/>
          <w:numId w:val="18"/>
        </w:numPr>
        <w:spacing w:after="0"/>
        <w:rPr>
          <w:sz w:val="20"/>
          <w:szCs w:val="20"/>
        </w:rPr>
      </w:pPr>
      <w:r w:rsidRPr="00A21289">
        <w:rPr>
          <w:sz w:val="20"/>
          <w:szCs w:val="20"/>
        </w:rPr>
        <w:t>Oversight roles: who owns policy, who owns training, who owns monitoring</w:t>
      </w:r>
    </w:p>
    <w:p w14:paraId="38F38C7B" w14:textId="77777777" w:rsidR="003F5DA3" w:rsidRPr="00A21289" w:rsidRDefault="003F5DA3" w:rsidP="007B04FA">
      <w:pPr>
        <w:numPr>
          <w:ilvl w:val="0"/>
          <w:numId w:val="18"/>
        </w:numPr>
        <w:spacing w:after="0"/>
        <w:rPr>
          <w:sz w:val="20"/>
          <w:szCs w:val="20"/>
        </w:rPr>
      </w:pPr>
      <w:r w:rsidRPr="00A21289">
        <w:rPr>
          <w:sz w:val="20"/>
          <w:szCs w:val="20"/>
        </w:rPr>
        <w:t>Practical controls that do not require a large IT team</w:t>
      </w:r>
    </w:p>
    <w:p w14:paraId="43DDFA5A" w14:textId="77777777" w:rsidR="003F5DA3" w:rsidRPr="00A21289" w:rsidRDefault="003F5DA3" w:rsidP="003F5DA3">
      <w:pPr>
        <w:rPr>
          <w:sz w:val="20"/>
          <w:szCs w:val="20"/>
        </w:rPr>
      </w:pPr>
      <w:r w:rsidRPr="00A21289">
        <w:rPr>
          <w:b/>
          <w:bCs/>
          <w:sz w:val="20"/>
          <w:szCs w:val="20"/>
        </w:rPr>
        <w:t>Outcome</w:t>
      </w:r>
    </w:p>
    <w:p w14:paraId="35DA1AF9" w14:textId="77777777" w:rsidR="003F5DA3" w:rsidRPr="00A21289" w:rsidRDefault="003F5DA3" w:rsidP="003F5DA3">
      <w:pPr>
        <w:rPr>
          <w:sz w:val="20"/>
          <w:szCs w:val="20"/>
        </w:rPr>
      </w:pPr>
      <w:r w:rsidRPr="00A21289">
        <w:rPr>
          <w:sz w:val="20"/>
          <w:szCs w:val="20"/>
        </w:rPr>
        <w:t>Participants move beyond general policy awareness and begin identifying concrete governance ownership gaps and data protection weaknesses that must be addressed.</w:t>
      </w:r>
    </w:p>
    <w:p w14:paraId="0B4998DA" w14:textId="77777777" w:rsidR="003F5DA3" w:rsidRPr="00A21289" w:rsidRDefault="003F5DA3" w:rsidP="003F5DA3">
      <w:pPr>
        <w:rPr>
          <w:b/>
          <w:bCs/>
          <w:sz w:val="20"/>
          <w:szCs w:val="20"/>
        </w:rPr>
      </w:pPr>
      <w:r w:rsidRPr="00A21289">
        <w:rPr>
          <w:b/>
          <w:bCs/>
          <w:sz w:val="20"/>
          <w:szCs w:val="20"/>
        </w:rPr>
        <w:t>10:50 – 11:20 AM</w:t>
      </w:r>
    </w:p>
    <w:p w14:paraId="2179A73B" w14:textId="77777777" w:rsidR="003F5DA3" w:rsidRPr="00A21289" w:rsidRDefault="003F5DA3" w:rsidP="003F5DA3">
      <w:pPr>
        <w:rPr>
          <w:b/>
          <w:bCs/>
          <w:sz w:val="20"/>
          <w:szCs w:val="20"/>
        </w:rPr>
      </w:pPr>
      <w:r w:rsidRPr="00A21289">
        <w:rPr>
          <w:b/>
          <w:bCs/>
          <w:sz w:val="20"/>
          <w:szCs w:val="20"/>
        </w:rPr>
        <w:t>From Experimentation to Structured Deployment</w:t>
      </w:r>
    </w:p>
    <w:p w14:paraId="30984F81" w14:textId="0AF04E5B" w:rsidR="00D4497B" w:rsidRPr="00D4497B" w:rsidRDefault="00D4497B" w:rsidP="00D4497B">
      <w:pPr>
        <w:rPr>
          <w:sz w:val="20"/>
          <w:szCs w:val="20"/>
        </w:rPr>
      </w:pPr>
      <w:r w:rsidRPr="00D4497B">
        <w:rPr>
          <w:sz w:val="20"/>
          <w:szCs w:val="20"/>
        </w:rPr>
        <w:t>This block provides a roadmap for moving from informal AI experimentation to structured, policy</w:t>
      </w:r>
      <w:r w:rsidRPr="00D4497B">
        <w:rPr>
          <w:sz w:val="20"/>
          <w:szCs w:val="20"/>
        </w:rPr>
        <w:noBreakHyphen/>
        <w:t>aligned implementation across departments and jurisdictions. It emphasizes measurable outcomes and documented standards, and focuses on disciplined, phased progression rather than rapid expansion.</w:t>
      </w:r>
    </w:p>
    <w:p w14:paraId="5BA63FC2" w14:textId="77777777" w:rsidR="003F5DA3" w:rsidRPr="00A21289" w:rsidRDefault="003F5DA3" w:rsidP="003F5DA3">
      <w:pPr>
        <w:rPr>
          <w:sz w:val="20"/>
          <w:szCs w:val="20"/>
        </w:rPr>
      </w:pPr>
      <w:r w:rsidRPr="00A21289">
        <w:rPr>
          <w:b/>
          <w:bCs/>
          <w:sz w:val="20"/>
          <w:szCs w:val="20"/>
        </w:rPr>
        <w:t>Information Covered</w:t>
      </w:r>
    </w:p>
    <w:p w14:paraId="13E8C9C6" w14:textId="77777777" w:rsidR="003F5DA3" w:rsidRPr="00A21289" w:rsidRDefault="003F5DA3" w:rsidP="00BB6BC5">
      <w:pPr>
        <w:numPr>
          <w:ilvl w:val="0"/>
          <w:numId w:val="20"/>
        </w:numPr>
        <w:spacing w:after="0"/>
        <w:rPr>
          <w:sz w:val="20"/>
          <w:szCs w:val="20"/>
        </w:rPr>
      </w:pPr>
      <w:r w:rsidRPr="00A21289">
        <w:rPr>
          <w:sz w:val="20"/>
          <w:szCs w:val="20"/>
        </w:rPr>
        <w:t>Pilot selection criteria tied to mission priorities and risk tolerance</w:t>
      </w:r>
    </w:p>
    <w:p w14:paraId="649171AA" w14:textId="77777777" w:rsidR="003F5DA3" w:rsidRPr="00A21289" w:rsidRDefault="003F5DA3" w:rsidP="00BB6BC5">
      <w:pPr>
        <w:numPr>
          <w:ilvl w:val="0"/>
          <w:numId w:val="20"/>
        </w:numPr>
        <w:spacing w:after="0"/>
        <w:rPr>
          <w:sz w:val="20"/>
          <w:szCs w:val="20"/>
        </w:rPr>
      </w:pPr>
      <w:r w:rsidRPr="00A21289">
        <w:rPr>
          <w:sz w:val="20"/>
          <w:szCs w:val="20"/>
        </w:rPr>
        <w:t>Standard usage expectations and documented approval pathways</w:t>
      </w:r>
    </w:p>
    <w:p w14:paraId="3AC28490" w14:textId="77777777" w:rsidR="003F5DA3" w:rsidRPr="00A21289" w:rsidRDefault="003F5DA3" w:rsidP="00BB6BC5">
      <w:pPr>
        <w:numPr>
          <w:ilvl w:val="0"/>
          <w:numId w:val="20"/>
        </w:numPr>
        <w:spacing w:after="0"/>
        <w:rPr>
          <w:sz w:val="20"/>
          <w:szCs w:val="20"/>
        </w:rPr>
      </w:pPr>
      <w:r w:rsidRPr="00A21289">
        <w:rPr>
          <w:sz w:val="20"/>
          <w:szCs w:val="20"/>
        </w:rPr>
        <w:t>Training alignment before scale, including who gets access and why</w:t>
      </w:r>
    </w:p>
    <w:p w14:paraId="5364612D" w14:textId="77777777" w:rsidR="003F5DA3" w:rsidRPr="00A21289" w:rsidRDefault="003F5DA3" w:rsidP="00BB6BC5">
      <w:pPr>
        <w:numPr>
          <w:ilvl w:val="0"/>
          <w:numId w:val="20"/>
        </w:numPr>
        <w:spacing w:after="0"/>
        <w:rPr>
          <w:sz w:val="20"/>
          <w:szCs w:val="20"/>
        </w:rPr>
      </w:pPr>
      <w:r w:rsidRPr="00A21289">
        <w:rPr>
          <w:sz w:val="20"/>
          <w:szCs w:val="20"/>
        </w:rPr>
        <w:t xml:space="preserve">Metrics that </w:t>
      </w:r>
      <w:proofErr w:type="gramStart"/>
      <w:r w:rsidRPr="00A21289">
        <w:rPr>
          <w:sz w:val="20"/>
          <w:szCs w:val="20"/>
        </w:rPr>
        <w:t>matter:</w:t>
      </w:r>
      <w:proofErr w:type="gramEnd"/>
      <w:r w:rsidRPr="00A21289">
        <w:rPr>
          <w:sz w:val="20"/>
          <w:szCs w:val="20"/>
        </w:rPr>
        <w:t xml:space="preserve"> time saved, quality improvement, compliance and consistency</w:t>
      </w:r>
    </w:p>
    <w:p w14:paraId="4CF0E585" w14:textId="77777777" w:rsidR="003F5DA3" w:rsidRPr="00A21289" w:rsidRDefault="003F5DA3" w:rsidP="00BB6BC5">
      <w:pPr>
        <w:numPr>
          <w:ilvl w:val="0"/>
          <w:numId w:val="20"/>
        </w:numPr>
        <w:spacing w:after="0"/>
        <w:rPr>
          <w:sz w:val="20"/>
          <w:szCs w:val="20"/>
        </w:rPr>
      </w:pPr>
      <w:r w:rsidRPr="00A21289">
        <w:rPr>
          <w:sz w:val="20"/>
          <w:szCs w:val="20"/>
        </w:rPr>
        <w:t>Feedback loops and governance checkpoints to prevent uncontrolled sprawl</w:t>
      </w:r>
    </w:p>
    <w:p w14:paraId="356D5BFD" w14:textId="77777777" w:rsidR="003F5DA3" w:rsidRPr="00A21289" w:rsidRDefault="003F5DA3" w:rsidP="003F5DA3">
      <w:pPr>
        <w:rPr>
          <w:sz w:val="20"/>
          <w:szCs w:val="20"/>
        </w:rPr>
      </w:pPr>
      <w:r w:rsidRPr="00A21289">
        <w:rPr>
          <w:b/>
          <w:bCs/>
          <w:sz w:val="20"/>
          <w:szCs w:val="20"/>
        </w:rPr>
        <w:t>Outcome</w:t>
      </w:r>
    </w:p>
    <w:p w14:paraId="3F6EB647" w14:textId="77777777" w:rsidR="003F5DA3" w:rsidRPr="00A21289" w:rsidRDefault="003F5DA3" w:rsidP="003F5DA3">
      <w:pPr>
        <w:rPr>
          <w:sz w:val="20"/>
          <w:szCs w:val="20"/>
        </w:rPr>
      </w:pPr>
      <w:r w:rsidRPr="00A21289">
        <w:rPr>
          <w:sz w:val="20"/>
          <w:szCs w:val="20"/>
        </w:rPr>
        <w:lastRenderedPageBreak/>
        <w:t>Participants leave with defined pilot concepts and a clearer understanding of how structured deployment differs from ad hoc experimentation.</w:t>
      </w:r>
    </w:p>
    <w:p w14:paraId="15539292" w14:textId="11C7E318" w:rsidR="003F5DA3" w:rsidRPr="00A21289" w:rsidRDefault="003F5DA3" w:rsidP="003F5DA3">
      <w:pPr>
        <w:rPr>
          <w:b/>
          <w:bCs/>
          <w:sz w:val="20"/>
          <w:szCs w:val="20"/>
        </w:rPr>
      </w:pPr>
      <w:r w:rsidRPr="00A21289">
        <w:rPr>
          <w:b/>
          <w:bCs/>
          <w:sz w:val="20"/>
          <w:szCs w:val="20"/>
        </w:rPr>
        <w:t>11:20 – 11:45 AM</w:t>
      </w:r>
    </w:p>
    <w:p w14:paraId="422A972C" w14:textId="77777777" w:rsidR="003F5DA3" w:rsidRPr="00A21289" w:rsidRDefault="003F5DA3" w:rsidP="003F5DA3">
      <w:pPr>
        <w:rPr>
          <w:b/>
          <w:bCs/>
          <w:sz w:val="20"/>
          <w:szCs w:val="20"/>
        </w:rPr>
      </w:pPr>
      <w:r w:rsidRPr="00A21289">
        <w:rPr>
          <w:b/>
          <w:bCs/>
          <w:sz w:val="20"/>
          <w:szCs w:val="20"/>
        </w:rPr>
        <w:t>The Regional Advantage: Why Councils of Governments Can Lead</w:t>
      </w:r>
    </w:p>
    <w:p w14:paraId="76F64C4C" w14:textId="3B8C5664" w:rsidR="003F5DA3" w:rsidRPr="00A21289" w:rsidRDefault="003F5DA3" w:rsidP="003F5DA3">
      <w:pPr>
        <w:rPr>
          <w:sz w:val="20"/>
          <w:szCs w:val="20"/>
        </w:rPr>
      </w:pPr>
      <w:r w:rsidRPr="00A21289">
        <w:rPr>
          <w:sz w:val="20"/>
          <w:szCs w:val="20"/>
        </w:rPr>
        <w:t xml:space="preserve">This discussion elevates AI from agency-level experimentation to coordinated regional strategy, highlighting how councils can provide structure, shared services, and alignment. The conversation explores how regional coordination reduces duplication, strengthens governance consistency, and improves cost efficiency. </w:t>
      </w:r>
    </w:p>
    <w:p w14:paraId="61D9ED3A" w14:textId="77777777" w:rsidR="003F5DA3" w:rsidRPr="00A21289" w:rsidRDefault="003F5DA3" w:rsidP="003F5DA3">
      <w:pPr>
        <w:rPr>
          <w:sz w:val="20"/>
          <w:szCs w:val="20"/>
        </w:rPr>
      </w:pPr>
      <w:r w:rsidRPr="00A21289">
        <w:rPr>
          <w:b/>
          <w:bCs/>
          <w:sz w:val="20"/>
          <w:szCs w:val="20"/>
        </w:rPr>
        <w:t>Information Covered</w:t>
      </w:r>
    </w:p>
    <w:p w14:paraId="006EC063" w14:textId="77777777" w:rsidR="003F5DA3" w:rsidRPr="00A21289" w:rsidRDefault="003F5DA3" w:rsidP="00BB6BC5">
      <w:pPr>
        <w:numPr>
          <w:ilvl w:val="0"/>
          <w:numId w:val="22"/>
        </w:numPr>
        <w:spacing w:after="0"/>
        <w:rPr>
          <w:sz w:val="20"/>
          <w:szCs w:val="20"/>
        </w:rPr>
      </w:pPr>
      <w:r w:rsidRPr="00A21289">
        <w:rPr>
          <w:sz w:val="20"/>
          <w:szCs w:val="20"/>
        </w:rPr>
        <w:t>Shared services models for training, governance templates, and procurement support</w:t>
      </w:r>
    </w:p>
    <w:p w14:paraId="33D7422C" w14:textId="77777777" w:rsidR="003F5DA3" w:rsidRPr="00A21289" w:rsidRDefault="003F5DA3" w:rsidP="00BB6BC5">
      <w:pPr>
        <w:numPr>
          <w:ilvl w:val="0"/>
          <w:numId w:val="22"/>
        </w:numPr>
        <w:spacing w:after="0"/>
        <w:rPr>
          <w:sz w:val="20"/>
          <w:szCs w:val="20"/>
        </w:rPr>
      </w:pPr>
      <w:r w:rsidRPr="00A21289">
        <w:rPr>
          <w:sz w:val="20"/>
          <w:szCs w:val="20"/>
        </w:rPr>
        <w:t>Cost distribution strategies that reduce duplication and increase leverage</w:t>
      </w:r>
    </w:p>
    <w:p w14:paraId="64127244" w14:textId="77777777" w:rsidR="003F5DA3" w:rsidRPr="00A21289" w:rsidRDefault="003F5DA3" w:rsidP="00BB6BC5">
      <w:pPr>
        <w:numPr>
          <w:ilvl w:val="0"/>
          <w:numId w:val="22"/>
        </w:numPr>
        <w:spacing w:after="0"/>
        <w:rPr>
          <w:sz w:val="20"/>
          <w:szCs w:val="20"/>
        </w:rPr>
      </w:pPr>
      <w:r w:rsidRPr="00A21289">
        <w:rPr>
          <w:sz w:val="20"/>
          <w:szCs w:val="20"/>
        </w:rPr>
        <w:t>Regional literacy development to avoid uneven capability across jurisdictions</w:t>
      </w:r>
    </w:p>
    <w:p w14:paraId="20B3CB41" w14:textId="77777777" w:rsidR="003F5DA3" w:rsidRPr="00A21289" w:rsidRDefault="003F5DA3" w:rsidP="00BB6BC5">
      <w:pPr>
        <w:numPr>
          <w:ilvl w:val="0"/>
          <w:numId w:val="22"/>
        </w:numPr>
        <w:spacing w:after="0"/>
        <w:rPr>
          <w:sz w:val="20"/>
          <w:szCs w:val="20"/>
        </w:rPr>
      </w:pPr>
      <w:r w:rsidRPr="00A21289">
        <w:rPr>
          <w:sz w:val="20"/>
          <w:szCs w:val="20"/>
        </w:rPr>
        <w:t>Positioning AI capability as regional infrastructure that strengthens grant readiness</w:t>
      </w:r>
    </w:p>
    <w:p w14:paraId="1BE6F52C" w14:textId="77777777" w:rsidR="00411B65" w:rsidRDefault="00411B65" w:rsidP="003F5DA3">
      <w:pPr>
        <w:rPr>
          <w:b/>
          <w:bCs/>
          <w:sz w:val="20"/>
          <w:szCs w:val="20"/>
        </w:rPr>
      </w:pPr>
    </w:p>
    <w:p w14:paraId="258C5E19" w14:textId="79CBD63E" w:rsidR="003F5DA3" w:rsidRPr="00A21289" w:rsidRDefault="003F5DA3" w:rsidP="003F5DA3">
      <w:pPr>
        <w:rPr>
          <w:sz w:val="20"/>
          <w:szCs w:val="20"/>
        </w:rPr>
      </w:pPr>
      <w:r w:rsidRPr="00A21289">
        <w:rPr>
          <w:b/>
          <w:bCs/>
          <w:sz w:val="20"/>
          <w:szCs w:val="20"/>
        </w:rPr>
        <w:t>Outcome</w:t>
      </w:r>
    </w:p>
    <w:p w14:paraId="1502BAE1" w14:textId="77777777" w:rsidR="003F5DA3" w:rsidRPr="00A21289" w:rsidRDefault="003F5DA3" w:rsidP="003F5DA3">
      <w:pPr>
        <w:rPr>
          <w:sz w:val="20"/>
          <w:szCs w:val="20"/>
        </w:rPr>
      </w:pPr>
      <w:r w:rsidRPr="00A21289">
        <w:rPr>
          <w:sz w:val="20"/>
          <w:szCs w:val="20"/>
        </w:rPr>
        <w:t xml:space="preserve">Participants identify at least one area where regional coordination would improve governance consistency and reduce </w:t>
      </w:r>
      <w:proofErr w:type="gramStart"/>
      <w:r w:rsidRPr="00A21289">
        <w:rPr>
          <w:sz w:val="20"/>
          <w:szCs w:val="20"/>
        </w:rPr>
        <w:t>cost</w:t>
      </w:r>
      <w:proofErr w:type="gramEnd"/>
      <w:r w:rsidRPr="00A21289">
        <w:rPr>
          <w:sz w:val="20"/>
          <w:szCs w:val="20"/>
        </w:rPr>
        <w:t xml:space="preserve"> or risk across member jurisdictions.</w:t>
      </w:r>
    </w:p>
    <w:p w14:paraId="24C7FC64" w14:textId="7FCD4739" w:rsidR="003F5DA3" w:rsidRPr="00A21289" w:rsidRDefault="003F5DA3" w:rsidP="003F5DA3">
      <w:pPr>
        <w:rPr>
          <w:b/>
          <w:bCs/>
          <w:sz w:val="20"/>
          <w:szCs w:val="20"/>
        </w:rPr>
      </w:pPr>
      <w:r w:rsidRPr="00A21289">
        <w:rPr>
          <w:b/>
          <w:bCs/>
          <w:sz w:val="20"/>
          <w:szCs w:val="20"/>
        </w:rPr>
        <w:t xml:space="preserve">11:45 – </w:t>
      </w:r>
      <w:r w:rsidR="00F7207D">
        <w:rPr>
          <w:b/>
          <w:bCs/>
          <w:sz w:val="20"/>
          <w:szCs w:val="20"/>
        </w:rPr>
        <w:t>12:00</w:t>
      </w:r>
      <w:r w:rsidRPr="00A21289">
        <w:rPr>
          <w:b/>
          <w:bCs/>
          <w:sz w:val="20"/>
          <w:szCs w:val="20"/>
        </w:rPr>
        <w:t xml:space="preserve"> </w:t>
      </w:r>
      <w:r w:rsidR="00F7207D">
        <w:rPr>
          <w:b/>
          <w:bCs/>
          <w:sz w:val="20"/>
          <w:szCs w:val="20"/>
        </w:rPr>
        <w:t>P</w:t>
      </w:r>
      <w:r w:rsidRPr="00A21289">
        <w:rPr>
          <w:b/>
          <w:bCs/>
          <w:sz w:val="20"/>
          <w:szCs w:val="20"/>
        </w:rPr>
        <w:t>M</w:t>
      </w:r>
    </w:p>
    <w:p w14:paraId="272A5A14" w14:textId="5687DFC1" w:rsidR="003F5DA3" w:rsidRPr="00A21289" w:rsidRDefault="003F5DA3" w:rsidP="003F5DA3">
      <w:pPr>
        <w:rPr>
          <w:b/>
          <w:bCs/>
          <w:sz w:val="20"/>
          <w:szCs w:val="20"/>
        </w:rPr>
      </w:pPr>
      <w:r w:rsidRPr="00A21289">
        <w:rPr>
          <w:b/>
          <w:bCs/>
          <w:sz w:val="20"/>
          <w:szCs w:val="20"/>
        </w:rPr>
        <w:t>Executive Dialogue: Barriers</w:t>
      </w:r>
      <w:r w:rsidR="00C87C0A">
        <w:rPr>
          <w:b/>
          <w:bCs/>
          <w:sz w:val="20"/>
          <w:szCs w:val="20"/>
        </w:rPr>
        <w:t xml:space="preserve"> and Moving to Action</w:t>
      </w:r>
    </w:p>
    <w:p w14:paraId="722535BD" w14:textId="62705520" w:rsidR="003F5DA3" w:rsidRPr="000F5062" w:rsidRDefault="003F5DA3" w:rsidP="003F5DA3">
      <w:pPr>
        <w:rPr>
          <w:sz w:val="20"/>
          <w:szCs w:val="20"/>
        </w:rPr>
      </w:pPr>
      <w:r w:rsidRPr="00A21289">
        <w:rPr>
          <w:sz w:val="20"/>
          <w:szCs w:val="20"/>
        </w:rPr>
        <w:t xml:space="preserve">This facilitated dialogue surfaces leadership concerns, perceived barriers, and readiness challenges while identifying </w:t>
      </w:r>
      <w:proofErr w:type="gramStart"/>
      <w:r w:rsidRPr="00A21289">
        <w:rPr>
          <w:sz w:val="20"/>
          <w:szCs w:val="20"/>
        </w:rPr>
        <w:t>practical next</w:t>
      </w:r>
      <w:proofErr w:type="gramEnd"/>
      <w:r w:rsidRPr="00A21289">
        <w:rPr>
          <w:sz w:val="20"/>
          <w:szCs w:val="20"/>
        </w:rPr>
        <w:t xml:space="preserve"> steps for implementation. The emphasis is on decision clarity and capacity constraints.</w:t>
      </w:r>
      <w:r w:rsidR="000F5062">
        <w:rPr>
          <w:sz w:val="20"/>
          <w:szCs w:val="20"/>
        </w:rPr>
        <w:t xml:space="preserve"> This is followed by a </w:t>
      </w:r>
      <w:r w:rsidRPr="00A21289">
        <w:rPr>
          <w:sz w:val="20"/>
          <w:szCs w:val="20"/>
        </w:rPr>
        <w:t>call to action, reinforcing disciplined next steps and coordinated regional movement</w:t>
      </w:r>
      <w:r w:rsidR="00417A9A">
        <w:rPr>
          <w:sz w:val="20"/>
          <w:szCs w:val="20"/>
        </w:rPr>
        <w:t xml:space="preserve">. </w:t>
      </w:r>
      <w:r w:rsidRPr="00A21289">
        <w:rPr>
          <w:sz w:val="20"/>
          <w:szCs w:val="20"/>
        </w:rPr>
        <w:t>Participants are encouraged to commit to one immediate, concrete action.</w:t>
      </w:r>
    </w:p>
    <w:sectPr w:rsidR="003F5DA3" w:rsidRPr="000F50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E03"/>
    <w:multiLevelType w:val="multilevel"/>
    <w:tmpl w:val="DCD0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2105C"/>
    <w:multiLevelType w:val="multilevel"/>
    <w:tmpl w:val="A4F0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1581E"/>
    <w:multiLevelType w:val="multilevel"/>
    <w:tmpl w:val="94B4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A3552"/>
    <w:multiLevelType w:val="multilevel"/>
    <w:tmpl w:val="8FB6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316BA"/>
    <w:multiLevelType w:val="multilevel"/>
    <w:tmpl w:val="0E36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70760"/>
    <w:multiLevelType w:val="multilevel"/>
    <w:tmpl w:val="4BF6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A31EA0"/>
    <w:multiLevelType w:val="multilevel"/>
    <w:tmpl w:val="0E62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5454F"/>
    <w:multiLevelType w:val="multilevel"/>
    <w:tmpl w:val="7174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505AC5"/>
    <w:multiLevelType w:val="multilevel"/>
    <w:tmpl w:val="FA9A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200B7D"/>
    <w:multiLevelType w:val="multilevel"/>
    <w:tmpl w:val="E7FA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B51638"/>
    <w:multiLevelType w:val="multilevel"/>
    <w:tmpl w:val="31C4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2665D4"/>
    <w:multiLevelType w:val="multilevel"/>
    <w:tmpl w:val="96D6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7D5D0A"/>
    <w:multiLevelType w:val="multilevel"/>
    <w:tmpl w:val="2230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482560"/>
    <w:multiLevelType w:val="multilevel"/>
    <w:tmpl w:val="121A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50798"/>
    <w:multiLevelType w:val="multilevel"/>
    <w:tmpl w:val="064C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DA78E3"/>
    <w:multiLevelType w:val="multilevel"/>
    <w:tmpl w:val="E84E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AB2FDB"/>
    <w:multiLevelType w:val="multilevel"/>
    <w:tmpl w:val="5470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10AD9"/>
    <w:multiLevelType w:val="multilevel"/>
    <w:tmpl w:val="CBF6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2A1514"/>
    <w:multiLevelType w:val="multilevel"/>
    <w:tmpl w:val="BBF6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9B254E"/>
    <w:multiLevelType w:val="multilevel"/>
    <w:tmpl w:val="D214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99522F"/>
    <w:multiLevelType w:val="multilevel"/>
    <w:tmpl w:val="206C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7642D8"/>
    <w:multiLevelType w:val="multilevel"/>
    <w:tmpl w:val="4B78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9D742B"/>
    <w:multiLevelType w:val="multilevel"/>
    <w:tmpl w:val="B89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EE58A3"/>
    <w:multiLevelType w:val="multilevel"/>
    <w:tmpl w:val="4BFE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E85DE7"/>
    <w:multiLevelType w:val="multilevel"/>
    <w:tmpl w:val="5B5E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50794">
    <w:abstractNumId w:val="19"/>
  </w:num>
  <w:num w:numId="2" w16cid:durableId="1205823675">
    <w:abstractNumId w:val="14"/>
  </w:num>
  <w:num w:numId="3" w16cid:durableId="136537449">
    <w:abstractNumId w:val="2"/>
  </w:num>
  <w:num w:numId="4" w16cid:durableId="829640208">
    <w:abstractNumId w:val="8"/>
  </w:num>
  <w:num w:numId="5" w16cid:durableId="579564223">
    <w:abstractNumId w:val="24"/>
  </w:num>
  <w:num w:numId="6" w16cid:durableId="1292322243">
    <w:abstractNumId w:val="15"/>
  </w:num>
  <w:num w:numId="7" w16cid:durableId="298145639">
    <w:abstractNumId w:val="4"/>
  </w:num>
  <w:num w:numId="8" w16cid:durableId="738014848">
    <w:abstractNumId w:val="17"/>
  </w:num>
  <w:num w:numId="9" w16cid:durableId="469983235">
    <w:abstractNumId w:val="3"/>
  </w:num>
  <w:num w:numId="10" w16cid:durableId="1568302891">
    <w:abstractNumId w:val="12"/>
  </w:num>
  <w:num w:numId="11" w16cid:durableId="1772773601">
    <w:abstractNumId w:val="6"/>
  </w:num>
  <w:num w:numId="12" w16cid:durableId="14157075">
    <w:abstractNumId w:val="13"/>
  </w:num>
  <w:num w:numId="13" w16cid:durableId="574558792">
    <w:abstractNumId w:val="16"/>
  </w:num>
  <w:num w:numId="14" w16cid:durableId="1751387989">
    <w:abstractNumId w:val="1"/>
  </w:num>
  <w:num w:numId="15" w16cid:durableId="970864093">
    <w:abstractNumId w:val="18"/>
  </w:num>
  <w:num w:numId="16" w16cid:durableId="1637249229">
    <w:abstractNumId w:val="5"/>
  </w:num>
  <w:num w:numId="17" w16cid:durableId="1153985359">
    <w:abstractNumId w:val="7"/>
  </w:num>
  <w:num w:numId="18" w16cid:durableId="1761636349">
    <w:abstractNumId w:val="21"/>
  </w:num>
  <w:num w:numId="19" w16cid:durableId="448472719">
    <w:abstractNumId w:val="0"/>
  </w:num>
  <w:num w:numId="20" w16cid:durableId="854806121">
    <w:abstractNumId w:val="20"/>
  </w:num>
  <w:num w:numId="21" w16cid:durableId="1148281078">
    <w:abstractNumId w:val="11"/>
  </w:num>
  <w:num w:numId="22" w16cid:durableId="1635523653">
    <w:abstractNumId w:val="22"/>
  </w:num>
  <w:num w:numId="23" w16cid:durableId="1136098568">
    <w:abstractNumId w:val="9"/>
  </w:num>
  <w:num w:numId="24" w16cid:durableId="1767384975">
    <w:abstractNumId w:val="23"/>
  </w:num>
  <w:num w:numId="25" w16cid:durableId="11607788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56"/>
    <w:rsid w:val="00053607"/>
    <w:rsid w:val="000543B6"/>
    <w:rsid w:val="00063775"/>
    <w:rsid w:val="00095988"/>
    <w:rsid w:val="000C615C"/>
    <w:rsid w:val="000E2BC6"/>
    <w:rsid w:val="000F5062"/>
    <w:rsid w:val="001702DE"/>
    <w:rsid w:val="00180DC4"/>
    <w:rsid w:val="002A516A"/>
    <w:rsid w:val="0030031B"/>
    <w:rsid w:val="003478A7"/>
    <w:rsid w:val="003579D1"/>
    <w:rsid w:val="003F14D4"/>
    <w:rsid w:val="003F5DA3"/>
    <w:rsid w:val="00411B65"/>
    <w:rsid w:val="00417A9A"/>
    <w:rsid w:val="00421658"/>
    <w:rsid w:val="00453D3A"/>
    <w:rsid w:val="004D3557"/>
    <w:rsid w:val="004F7350"/>
    <w:rsid w:val="00523938"/>
    <w:rsid w:val="00567789"/>
    <w:rsid w:val="005C4D3E"/>
    <w:rsid w:val="00604F34"/>
    <w:rsid w:val="00637BD3"/>
    <w:rsid w:val="006608FA"/>
    <w:rsid w:val="00675756"/>
    <w:rsid w:val="00680723"/>
    <w:rsid w:val="006D4F8A"/>
    <w:rsid w:val="0071401F"/>
    <w:rsid w:val="00714044"/>
    <w:rsid w:val="00717201"/>
    <w:rsid w:val="00724E04"/>
    <w:rsid w:val="007B04FA"/>
    <w:rsid w:val="007E02AA"/>
    <w:rsid w:val="00863B94"/>
    <w:rsid w:val="00871346"/>
    <w:rsid w:val="00876F75"/>
    <w:rsid w:val="008C5EA9"/>
    <w:rsid w:val="008D1DEA"/>
    <w:rsid w:val="008D24DC"/>
    <w:rsid w:val="008F1756"/>
    <w:rsid w:val="00952873"/>
    <w:rsid w:val="00A12F8D"/>
    <w:rsid w:val="00A2078F"/>
    <w:rsid w:val="00A21289"/>
    <w:rsid w:val="00A46DA5"/>
    <w:rsid w:val="00AA0D82"/>
    <w:rsid w:val="00AD4F21"/>
    <w:rsid w:val="00B625E5"/>
    <w:rsid w:val="00BB6BC5"/>
    <w:rsid w:val="00BC055C"/>
    <w:rsid w:val="00BD275B"/>
    <w:rsid w:val="00BE6262"/>
    <w:rsid w:val="00C269CA"/>
    <w:rsid w:val="00C27A80"/>
    <w:rsid w:val="00C87C0A"/>
    <w:rsid w:val="00C91EBA"/>
    <w:rsid w:val="00CF473F"/>
    <w:rsid w:val="00D31537"/>
    <w:rsid w:val="00D34ACA"/>
    <w:rsid w:val="00D4497B"/>
    <w:rsid w:val="00D72264"/>
    <w:rsid w:val="00DC1C4B"/>
    <w:rsid w:val="00DE3F67"/>
    <w:rsid w:val="00E10A1B"/>
    <w:rsid w:val="00E46DD6"/>
    <w:rsid w:val="00E61BCA"/>
    <w:rsid w:val="00EE6C9B"/>
    <w:rsid w:val="00F4151B"/>
    <w:rsid w:val="00F422BE"/>
    <w:rsid w:val="00F53EBF"/>
    <w:rsid w:val="00F7207D"/>
    <w:rsid w:val="00F91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F86A"/>
  <w15:chartTrackingRefBased/>
  <w15:docId w15:val="{5DB46DEC-2597-406D-9043-EC292B8D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7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7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7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7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7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7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7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7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7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7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7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7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7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7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7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7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7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756"/>
    <w:rPr>
      <w:rFonts w:eastAsiaTheme="majorEastAsia" w:cstheme="majorBidi"/>
      <w:color w:val="272727" w:themeColor="text1" w:themeTint="D8"/>
    </w:rPr>
  </w:style>
  <w:style w:type="paragraph" w:styleId="Title">
    <w:name w:val="Title"/>
    <w:basedOn w:val="Normal"/>
    <w:next w:val="Normal"/>
    <w:link w:val="TitleChar"/>
    <w:uiPriority w:val="10"/>
    <w:qFormat/>
    <w:rsid w:val="008F17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7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7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7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756"/>
    <w:pPr>
      <w:spacing w:before="160"/>
      <w:jc w:val="center"/>
    </w:pPr>
    <w:rPr>
      <w:i/>
      <w:iCs/>
      <w:color w:val="404040" w:themeColor="text1" w:themeTint="BF"/>
    </w:rPr>
  </w:style>
  <w:style w:type="character" w:customStyle="1" w:styleId="QuoteChar">
    <w:name w:val="Quote Char"/>
    <w:basedOn w:val="DefaultParagraphFont"/>
    <w:link w:val="Quote"/>
    <w:uiPriority w:val="29"/>
    <w:rsid w:val="008F1756"/>
    <w:rPr>
      <w:i/>
      <w:iCs/>
      <w:color w:val="404040" w:themeColor="text1" w:themeTint="BF"/>
    </w:rPr>
  </w:style>
  <w:style w:type="paragraph" w:styleId="ListParagraph">
    <w:name w:val="List Paragraph"/>
    <w:basedOn w:val="Normal"/>
    <w:uiPriority w:val="34"/>
    <w:qFormat/>
    <w:rsid w:val="008F1756"/>
    <w:pPr>
      <w:ind w:left="720"/>
      <w:contextualSpacing/>
    </w:pPr>
  </w:style>
  <w:style w:type="character" w:styleId="IntenseEmphasis">
    <w:name w:val="Intense Emphasis"/>
    <w:basedOn w:val="DefaultParagraphFont"/>
    <w:uiPriority w:val="21"/>
    <w:qFormat/>
    <w:rsid w:val="008F1756"/>
    <w:rPr>
      <w:i/>
      <w:iCs/>
      <w:color w:val="0F4761" w:themeColor="accent1" w:themeShade="BF"/>
    </w:rPr>
  </w:style>
  <w:style w:type="paragraph" w:styleId="IntenseQuote">
    <w:name w:val="Intense Quote"/>
    <w:basedOn w:val="Normal"/>
    <w:next w:val="Normal"/>
    <w:link w:val="IntenseQuoteChar"/>
    <w:uiPriority w:val="30"/>
    <w:qFormat/>
    <w:rsid w:val="008F17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756"/>
    <w:rPr>
      <w:i/>
      <w:iCs/>
      <w:color w:val="0F4761" w:themeColor="accent1" w:themeShade="BF"/>
    </w:rPr>
  </w:style>
  <w:style w:type="character" w:styleId="IntenseReference">
    <w:name w:val="Intense Reference"/>
    <w:basedOn w:val="DefaultParagraphFont"/>
    <w:uiPriority w:val="32"/>
    <w:qFormat/>
    <w:rsid w:val="008F17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824</Words>
  <Characters>5444</Characters>
  <Application>Microsoft Office Word</Application>
  <DocSecurity>0</DocSecurity>
  <Lines>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Hiett</dc:creator>
  <cp:keywords/>
  <dc:description/>
  <cp:lastModifiedBy>Ann Link</cp:lastModifiedBy>
  <cp:revision>59</cp:revision>
  <dcterms:created xsi:type="dcterms:W3CDTF">2026-03-10T17:15:00Z</dcterms:created>
  <dcterms:modified xsi:type="dcterms:W3CDTF">2026-03-10T18:12:00Z</dcterms:modified>
</cp:coreProperties>
</file>